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Grille5Fonc-Accentuation5"/>
        <w:tblpPr w:leftFromText="141" w:rightFromText="141" w:vertAnchor="page" w:horzAnchor="margin" w:tblpY="2041"/>
        <w:tblW w:w="17856" w:type="dxa"/>
        <w:tblLook w:val="04A0" w:firstRow="1" w:lastRow="0" w:firstColumn="1" w:lastColumn="0" w:noHBand="0" w:noVBand="1"/>
      </w:tblPr>
      <w:tblGrid>
        <w:gridCol w:w="1675"/>
        <w:gridCol w:w="1341"/>
        <w:gridCol w:w="6432"/>
        <w:gridCol w:w="1538"/>
        <w:gridCol w:w="3346"/>
        <w:gridCol w:w="3524"/>
      </w:tblGrid>
      <w:tr w:rsidR="00953E65" w14:paraId="145582E1" w14:textId="77777777" w:rsidTr="00451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71ECC417" w14:textId="77777777" w:rsidR="00D95F86" w:rsidRDefault="00D95F86" w:rsidP="00AE4010">
            <w:r>
              <w:t>Palier</w:t>
            </w:r>
          </w:p>
        </w:tc>
        <w:tc>
          <w:tcPr>
            <w:tcW w:w="1342" w:type="dxa"/>
          </w:tcPr>
          <w:p w14:paraId="4792FFE5" w14:textId="0DB72309" w:rsidR="00D95F86" w:rsidRDefault="00D95F86" w:rsidP="00AE40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Mesure</w:t>
            </w:r>
            <w:r w:rsidR="008E5B9C">
              <w:t xml:space="preserve"> et</w:t>
            </w:r>
          </w:p>
          <w:p w14:paraId="232BA343" w14:textId="0983223E" w:rsidR="008E5B9C" w:rsidRDefault="008E5B9C" w:rsidP="00AE40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Lien</w:t>
            </w:r>
          </w:p>
        </w:tc>
        <w:tc>
          <w:tcPr>
            <w:tcW w:w="6450" w:type="dxa"/>
          </w:tcPr>
          <w:p w14:paraId="5C231363" w14:textId="77777777" w:rsidR="00D95F86" w:rsidRDefault="00D95F86" w:rsidP="00AE40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538" w:type="dxa"/>
          </w:tcPr>
          <w:p w14:paraId="48AB92D5" w14:textId="17BDB15C" w:rsidR="00D95F86" w:rsidRDefault="004D5EE7" w:rsidP="00AE40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Orientation de la mesure </w:t>
            </w:r>
          </w:p>
        </w:tc>
        <w:tc>
          <w:tcPr>
            <w:tcW w:w="3352" w:type="dxa"/>
          </w:tcPr>
          <w:p w14:paraId="792CD55C" w14:textId="77777777" w:rsidR="00D95F86" w:rsidRDefault="00D95F86" w:rsidP="00AE40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Principaux critères</w:t>
            </w:r>
          </w:p>
        </w:tc>
        <w:tc>
          <w:tcPr>
            <w:tcW w:w="3524" w:type="dxa"/>
          </w:tcPr>
          <w:p w14:paraId="48021E69" w14:textId="77777777" w:rsidR="00D95F86" w:rsidRDefault="00D95F86" w:rsidP="00AE4010">
            <w:pPr>
              <w:ind w:right="-125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Principales modalités</w:t>
            </w:r>
          </w:p>
        </w:tc>
      </w:tr>
      <w:tr w:rsidR="00953E65" w14:paraId="39D84201" w14:textId="77777777" w:rsidTr="00451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6009F2DD" w14:textId="77777777" w:rsidR="008E5B9C" w:rsidRDefault="008E5B9C" w:rsidP="00AE4010">
            <w:pPr>
              <w:rPr>
                <w:sz w:val="20"/>
                <w:szCs w:val="20"/>
              </w:rPr>
            </w:pPr>
            <w:r w:rsidRPr="00056ACF">
              <w:rPr>
                <w:sz w:val="20"/>
                <w:szCs w:val="20"/>
              </w:rPr>
              <w:t xml:space="preserve">Québec </w:t>
            </w:r>
          </w:p>
          <w:p w14:paraId="2F8AB852" w14:textId="2C5C6859" w:rsidR="008E5B9C" w:rsidRPr="00056ACF" w:rsidRDefault="008E5B9C" w:rsidP="00AE4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Investissement Québec</w:t>
            </w:r>
          </w:p>
        </w:tc>
        <w:tc>
          <w:tcPr>
            <w:tcW w:w="1342" w:type="dxa"/>
          </w:tcPr>
          <w:p w14:paraId="2F0A1D37" w14:textId="2C4817CA" w:rsidR="008E5B9C" w:rsidRDefault="008E5B9C" w:rsidP="00AE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8" w:tgtFrame="_blank" w:history="1">
              <w:r w:rsidRPr="00056ACF">
                <w:rPr>
                  <w:rStyle w:val="Lienhypertexte"/>
                  <w:sz w:val="20"/>
                  <w:szCs w:val="20"/>
                </w:rPr>
                <w:t>FRONTIERE</w:t>
              </w:r>
            </w:hyperlink>
          </w:p>
          <w:p w14:paraId="77CDFFAC" w14:textId="2BA5CF67" w:rsidR="008E5B9C" w:rsidRPr="00056ACF" w:rsidRDefault="008E5B9C" w:rsidP="00AE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50" w:type="dxa"/>
          </w:tcPr>
          <w:p w14:paraId="20851D82" w14:textId="11FA8F95" w:rsidR="008E5B9C" w:rsidRDefault="008E5B9C" w:rsidP="00AE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351C48">
              <w:rPr>
                <w:sz w:val="20"/>
                <w:szCs w:val="20"/>
              </w:rPr>
              <w:t>avoriser le maintien de vos activités et de vos liquidités à court terme afin de vous permettre d’ajuster votre modèle d’affaires ou votre chaîne d’approvisionnement.</w:t>
            </w:r>
          </w:p>
          <w:p w14:paraId="77D83413" w14:textId="77777777" w:rsidR="008E5B9C" w:rsidRDefault="008E5B9C" w:rsidP="00AE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D65A2D" w14:textId="33D57F65" w:rsidR="008E5B9C" w:rsidRPr="00056ACF" w:rsidRDefault="008E5B9C" w:rsidP="00AE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56ACF">
              <w:rPr>
                <w:sz w:val="20"/>
                <w:szCs w:val="20"/>
              </w:rPr>
              <w:t xml:space="preserve">ntreprises québécoises exportatrices du </w:t>
            </w:r>
            <w:r w:rsidRPr="00351C48">
              <w:rPr>
                <w:sz w:val="20"/>
                <w:szCs w:val="20"/>
                <w:u w:val="single"/>
              </w:rPr>
              <w:t>secteur manufacturier ou d’un secteur primaire,</w:t>
            </w:r>
            <w:r w:rsidRPr="00056ACF">
              <w:rPr>
                <w:sz w:val="20"/>
                <w:szCs w:val="20"/>
              </w:rPr>
              <w:t xml:space="preserve"> dont le chiffre d’affaires est affecté significativement par la hausse des tarifs douaniers américains.</w:t>
            </w:r>
          </w:p>
        </w:tc>
        <w:tc>
          <w:tcPr>
            <w:tcW w:w="1538" w:type="dxa"/>
          </w:tcPr>
          <w:p w14:paraId="1E4E5162" w14:textId="42544680" w:rsidR="008E5B9C" w:rsidRPr="00056ACF" w:rsidRDefault="008E5B9C" w:rsidP="00AE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Liquidité</w:t>
            </w:r>
          </w:p>
        </w:tc>
        <w:tc>
          <w:tcPr>
            <w:tcW w:w="3352" w:type="dxa"/>
          </w:tcPr>
          <w:p w14:paraId="45588C53" w14:textId="77777777" w:rsidR="008E5B9C" w:rsidRPr="00351C48" w:rsidRDefault="008E5B9C" w:rsidP="00AE4010">
            <w:pPr>
              <w:pStyle w:val="Paragraphedeliste"/>
              <w:numPr>
                <w:ilvl w:val="0"/>
                <w:numId w:val="1"/>
              </w:numPr>
              <w:ind w:left="31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1C48">
              <w:rPr>
                <w:sz w:val="20"/>
                <w:szCs w:val="20"/>
              </w:rPr>
              <w:t>Ventes de 3M$ au moins</w:t>
            </w:r>
          </w:p>
          <w:p w14:paraId="560DB3E9" w14:textId="77777777" w:rsidR="008E5B9C" w:rsidRPr="00351C48" w:rsidRDefault="008E5B9C" w:rsidP="00AE4010">
            <w:pPr>
              <w:pStyle w:val="Paragraphedeliste"/>
              <w:numPr>
                <w:ilvl w:val="0"/>
                <w:numId w:val="1"/>
              </w:numPr>
              <w:ind w:left="31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1C48">
              <w:rPr>
                <w:sz w:val="20"/>
                <w:szCs w:val="20"/>
              </w:rPr>
              <w:t>25% des ventes aux É-U</w:t>
            </w:r>
          </w:p>
          <w:p w14:paraId="3D94D8B2" w14:textId="08905A38" w:rsidR="008E5B9C" w:rsidRPr="00351C48" w:rsidRDefault="008E5B9C" w:rsidP="00AE4010">
            <w:pPr>
              <w:pStyle w:val="Paragraphedeliste"/>
              <w:numPr>
                <w:ilvl w:val="0"/>
                <w:numId w:val="1"/>
              </w:numPr>
              <w:ind w:left="31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1C48">
              <w:rPr>
                <w:sz w:val="20"/>
                <w:szCs w:val="20"/>
              </w:rPr>
              <w:t xml:space="preserve">Avoir effectué une demande au gouvernement du Canada au préalable </w:t>
            </w:r>
            <w:r w:rsidR="00521F9D">
              <w:rPr>
                <w:sz w:val="20"/>
                <w:szCs w:val="20"/>
              </w:rPr>
              <w:t>si une mesure similaire est disponible</w:t>
            </w:r>
            <w:r w:rsidRPr="00351C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24" w:type="dxa"/>
          </w:tcPr>
          <w:p w14:paraId="7F25983D" w14:textId="77777777" w:rsidR="008E5B9C" w:rsidRPr="00351C48" w:rsidRDefault="008E5B9C" w:rsidP="00AE4010">
            <w:pPr>
              <w:pStyle w:val="Paragraphedeliste"/>
              <w:numPr>
                <w:ilvl w:val="0"/>
                <w:numId w:val="1"/>
              </w:numPr>
              <w:ind w:left="251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1C48">
              <w:rPr>
                <w:sz w:val="20"/>
                <w:szCs w:val="20"/>
              </w:rPr>
              <w:t>Prêt pour un terme max de 7 ans</w:t>
            </w:r>
          </w:p>
          <w:p w14:paraId="1249F211" w14:textId="6191C5FC" w:rsidR="008E5B9C" w:rsidRPr="00351C48" w:rsidRDefault="008E5B9C" w:rsidP="00AE4010">
            <w:pPr>
              <w:pStyle w:val="Paragraphedeliste"/>
              <w:numPr>
                <w:ilvl w:val="0"/>
                <w:numId w:val="1"/>
              </w:numPr>
              <w:ind w:left="251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1C48">
              <w:rPr>
                <w:sz w:val="20"/>
                <w:szCs w:val="20"/>
              </w:rPr>
              <w:t>Jusqu’à 24 mois de moratoire</w:t>
            </w:r>
          </w:p>
        </w:tc>
      </w:tr>
      <w:tr w:rsidR="00D11147" w14:paraId="5B988121" w14:textId="77777777" w:rsidTr="00451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044DF7FC" w14:textId="77777777" w:rsidR="008E5B9C" w:rsidRDefault="008E5B9C" w:rsidP="00AE4010">
            <w:pPr>
              <w:rPr>
                <w:sz w:val="20"/>
                <w:szCs w:val="20"/>
              </w:rPr>
            </w:pPr>
            <w:r w:rsidRPr="00056ACF">
              <w:rPr>
                <w:sz w:val="20"/>
                <w:szCs w:val="20"/>
              </w:rPr>
              <w:t xml:space="preserve">Québec </w:t>
            </w:r>
          </w:p>
          <w:p w14:paraId="3FD3F4A8" w14:textId="3E2F3372" w:rsidR="008E5B9C" w:rsidRPr="00056ACF" w:rsidRDefault="008E5B9C" w:rsidP="00AE4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Investissement Québec</w:t>
            </w:r>
          </w:p>
        </w:tc>
        <w:tc>
          <w:tcPr>
            <w:tcW w:w="1342" w:type="dxa"/>
          </w:tcPr>
          <w:p w14:paraId="415DA194" w14:textId="14EABF1B" w:rsidR="008E5B9C" w:rsidRPr="00056ACF" w:rsidRDefault="008E5B9C" w:rsidP="00AE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9" w:tgtFrame="_blank" w:history="1">
              <w:r>
                <w:rPr>
                  <w:rStyle w:val="Lienhypertexte"/>
                  <w:sz w:val="20"/>
                  <w:szCs w:val="20"/>
                </w:rPr>
                <w:t>ESS</w:t>
              </w:r>
              <w:r w:rsidRPr="00351C48">
                <w:rPr>
                  <w:rStyle w:val="Lienhypertexte"/>
                  <w:sz w:val="20"/>
                  <w:szCs w:val="20"/>
                </w:rPr>
                <w:t>OR </w:t>
              </w:r>
            </w:hyperlink>
          </w:p>
        </w:tc>
        <w:tc>
          <w:tcPr>
            <w:tcW w:w="6450" w:type="dxa"/>
          </w:tcPr>
          <w:p w14:paraId="400C8EB8" w14:textId="6E432F98" w:rsidR="008E5B9C" w:rsidRDefault="008E5B9C" w:rsidP="00AE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51C48">
              <w:rPr>
                <w:sz w:val="20"/>
                <w:szCs w:val="20"/>
              </w:rPr>
              <w:t>outenir l’innovation et la productivité au sein de votre entreprise pour vous permettre de vous distinguer auprès des grands donneurs d’ordres, de diversifier vos marchés et d’assurer votre croissance.</w:t>
            </w:r>
          </w:p>
        </w:tc>
        <w:tc>
          <w:tcPr>
            <w:tcW w:w="1538" w:type="dxa"/>
          </w:tcPr>
          <w:p w14:paraId="3CCC0E86" w14:textId="71E92E73" w:rsidR="008E5B9C" w:rsidRPr="00056ACF" w:rsidRDefault="008E5B9C" w:rsidP="00AE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Productivité</w:t>
            </w:r>
          </w:p>
        </w:tc>
        <w:tc>
          <w:tcPr>
            <w:tcW w:w="3352" w:type="dxa"/>
          </w:tcPr>
          <w:p w14:paraId="7B55F0CF" w14:textId="3BCE65D5" w:rsidR="008E5B9C" w:rsidRPr="00351C48" w:rsidRDefault="008E5B9C" w:rsidP="00AE4010">
            <w:pPr>
              <w:pStyle w:val="Paragraphedeliste"/>
              <w:numPr>
                <w:ilvl w:val="0"/>
                <w:numId w:val="1"/>
              </w:numPr>
              <w:ind w:left="3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Plus de détails à venir</w:t>
            </w:r>
          </w:p>
        </w:tc>
        <w:tc>
          <w:tcPr>
            <w:tcW w:w="3524" w:type="dxa"/>
          </w:tcPr>
          <w:p w14:paraId="2B043601" w14:textId="6DCCBC9F" w:rsidR="008E5B9C" w:rsidRPr="00351C48" w:rsidRDefault="008E5B9C" w:rsidP="00AE4010">
            <w:pPr>
              <w:pStyle w:val="Paragraphedeliste"/>
              <w:numPr>
                <w:ilvl w:val="0"/>
                <w:numId w:val="1"/>
              </w:numPr>
              <w:ind w:left="251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Prêt </w:t>
            </w:r>
          </w:p>
        </w:tc>
      </w:tr>
      <w:tr w:rsidR="008A6DD1" w14:paraId="5EEF3835" w14:textId="77777777" w:rsidTr="00451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4DAF41F1" w14:textId="77777777" w:rsidR="008E5B9C" w:rsidRDefault="008E5B9C" w:rsidP="00AE4010">
            <w:pPr>
              <w:rPr>
                <w:sz w:val="20"/>
                <w:szCs w:val="20"/>
              </w:rPr>
            </w:pPr>
            <w:r w:rsidRPr="00056ACF">
              <w:rPr>
                <w:sz w:val="20"/>
                <w:szCs w:val="20"/>
              </w:rPr>
              <w:t xml:space="preserve">Québec </w:t>
            </w:r>
          </w:p>
          <w:p w14:paraId="6ED056A6" w14:textId="578188C6" w:rsidR="008E5B9C" w:rsidRPr="00056ACF" w:rsidRDefault="008E5B9C" w:rsidP="00AE4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Investissement Québec</w:t>
            </w:r>
          </w:p>
        </w:tc>
        <w:tc>
          <w:tcPr>
            <w:tcW w:w="1342" w:type="dxa"/>
          </w:tcPr>
          <w:p w14:paraId="4998FEE3" w14:textId="180D3638" w:rsidR="008E5B9C" w:rsidRPr="008E5B9C" w:rsidRDefault="008E5B9C" w:rsidP="00AE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sz w:val="20"/>
                <w:szCs w:val="20"/>
              </w:rPr>
            </w:pPr>
            <w:hyperlink r:id="rId10" w:history="1">
              <w:r w:rsidRPr="008E5B9C">
                <w:rPr>
                  <w:rStyle w:val="Lienhypertexte"/>
                  <w:sz w:val="20"/>
                  <w:szCs w:val="20"/>
                </w:rPr>
                <w:t>PANORAMA</w:t>
              </w:r>
            </w:hyperlink>
          </w:p>
        </w:tc>
        <w:tc>
          <w:tcPr>
            <w:tcW w:w="6450" w:type="dxa"/>
          </w:tcPr>
          <w:p w14:paraId="303B1A5E" w14:textId="77777777" w:rsidR="008E5B9C" w:rsidRDefault="008E5B9C" w:rsidP="00AE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F52AD8">
              <w:rPr>
                <w:sz w:val="20"/>
                <w:szCs w:val="20"/>
              </w:rPr>
              <w:t>outenir vos besoins en fonds de roulement pour réaliser des projets visant à augmenter ou à diversifier vos ventes au Canada et à l’international (hors États-Unis).  </w:t>
            </w:r>
          </w:p>
          <w:p w14:paraId="779AEE01" w14:textId="77777777" w:rsidR="008E5B9C" w:rsidRDefault="008E5B9C" w:rsidP="00AE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77298D" w14:textId="747CD6C0" w:rsidR="008E5B9C" w:rsidRPr="00351C48" w:rsidRDefault="008E5B9C" w:rsidP="00AE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FINANCEMENT et ACCOMPAGNEMENT </w:t>
            </w:r>
          </w:p>
        </w:tc>
        <w:tc>
          <w:tcPr>
            <w:tcW w:w="1538" w:type="dxa"/>
          </w:tcPr>
          <w:p w14:paraId="2F81CCF5" w14:textId="1504D24F" w:rsidR="008E5B9C" w:rsidRPr="00351C48" w:rsidRDefault="008E5B9C" w:rsidP="00AE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Diversification de marché</w:t>
            </w:r>
          </w:p>
        </w:tc>
        <w:tc>
          <w:tcPr>
            <w:tcW w:w="3352" w:type="dxa"/>
          </w:tcPr>
          <w:p w14:paraId="21A09877" w14:textId="56FCCE8F" w:rsidR="008E5B9C" w:rsidRDefault="008E5B9C" w:rsidP="00AE4010">
            <w:pPr>
              <w:pStyle w:val="Paragraphedeliste"/>
              <w:numPr>
                <w:ilvl w:val="0"/>
                <w:numId w:val="1"/>
              </w:numPr>
              <w:ind w:left="31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Entreprises avec expérience hors Québec, projets sans délocalisation et en conformité avec les règles du commerce international</w:t>
            </w:r>
          </w:p>
        </w:tc>
        <w:tc>
          <w:tcPr>
            <w:tcW w:w="3524" w:type="dxa"/>
          </w:tcPr>
          <w:p w14:paraId="04DA4DCB" w14:textId="77777777" w:rsidR="008E5B9C" w:rsidRDefault="008E5B9C" w:rsidP="00AE4010">
            <w:pPr>
              <w:pStyle w:val="Paragraphedeliste"/>
              <w:numPr>
                <w:ilvl w:val="0"/>
                <w:numId w:val="1"/>
              </w:numPr>
              <w:ind w:left="251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Prêt de 250K$ à 1M$</w:t>
            </w:r>
          </w:p>
          <w:p w14:paraId="50E45B77" w14:textId="77777777" w:rsidR="008E5B9C" w:rsidRDefault="008E5B9C" w:rsidP="00AE4010">
            <w:pPr>
              <w:pStyle w:val="Paragraphedeliste"/>
              <w:numPr>
                <w:ilvl w:val="0"/>
                <w:numId w:val="1"/>
              </w:numPr>
              <w:ind w:left="251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Jusqu’à 24 mois de moratoire</w:t>
            </w:r>
          </w:p>
          <w:p w14:paraId="2905CF52" w14:textId="2CE1358F" w:rsidR="008E5B9C" w:rsidRDefault="008E5B9C" w:rsidP="00AE4010">
            <w:pPr>
              <w:pStyle w:val="Paragraphedeliste"/>
              <w:numPr>
                <w:ilvl w:val="0"/>
                <w:numId w:val="1"/>
              </w:numPr>
              <w:ind w:left="251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des besoins supérieurs à 1M$, combinaison avec d’autres programmes d’IQ</w:t>
            </w:r>
          </w:p>
        </w:tc>
      </w:tr>
      <w:tr w:rsidR="00953E65" w14:paraId="32BF9893" w14:textId="77777777" w:rsidTr="00485E70">
        <w:trPr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6D7B6E58" w14:textId="77777777" w:rsidR="008E5B9C" w:rsidRDefault="008E5B9C" w:rsidP="00AE4010">
            <w:pPr>
              <w:rPr>
                <w:sz w:val="20"/>
                <w:szCs w:val="20"/>
              </w:rPr>
            </w:pPr>
            <w:r w:rsidRPr="00056ACF">
              <w:rPr>
                <w:sz w:val="20"/>
                <w:szCs w:val="20"/>
              </w:rPr>
              <w:t xml:space="preserve">Québec </w:t>
            </w:r>
          </w:p>
          <w:p w14:paraId="7C09B45C" w14:textId="3345085A" w:rsidR="008E5B9C" w:rsidRPr="00056ACF" w:rsidRDefault="008E5B9C" w:rsidP="00AE4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Investissement Québec</w:t>
            </w:r>
          </w:p>
        </w:tc>
        <w:tc>
          <w:tcPr>
            <w:tcW w:w="1342" w:type="dxa"/>
          </w:tcPr>
          <w:p w14:paraId="1B591B0B" w14:textId="42548B75" w:rsidR="008E5B9C" w:rsidRDefault="008E5B9C" w:rsidP="00AE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1" w:tgtFrame="_blank" w:history="1">
              <w:r>
                <w:rPr>
                  <w:rStyle w:val="Lienhypertexte"/>
                  <w:sz w:val="20"/>
                  <w:szCs w:val="20"/>
                </w:rPr>
                <w:t>G</w:t>
              </w:r>
              <w:r w:rsidRPr="008E5B9C">
                <w:rPr>
                  <w:rStyle w:val="Lienhypertexte"/>
                  <w:sz w:val="20"/>
                  <w:szCs w:val="20"/>
                </w:rPr>
                <w:t>rand V </w:t>
              </w:r>
            </w:hyperlink>
            <w:r w:rsidRPr="008E5B9C">
              <w:rPr>
                <w:sz w:val="20"/>
                <w:szCs w:val="20"/>
              </w:rPr>
              <w:br/>
            </w:r>
          </w:p>
        </w:tc>
        <w:tc>
          <w:tcPr>
            <w:tcW w:w="6450" w:type="dxa"/>
          </w:tcPr>
          <w:p w14:paraId="393D5E20" w14:textId="77777777" w:rsidR="008E5B9C" w:rsidRDefault="008E5B9C" w:rsidP="00AE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Innovation et productivité durable </w:t>
            </w:r>
          </w:p>
          <w:p w14:paraId="0E08A983" w14:textId="77777777" w:rsidR="008E5B9C" w:rsidRDefault="008E5B9C" w:rsidP="00AE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46F44F2" w14:textId="0250C10E" w:rsidR="008E5B9C" w:rsidRDefault="008E5B9C" w:rsidP="00AE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FINANCEMENT et ACCOMPAGNEMENT</w:t>
            </w:r>
          </w:p>
        </w:tc>
        <w:tc>
          <w:tcPr>
            <w:tcW w:w="1538" w:type="dxa"/>
          </w:tcPr>
          <w:p w14:paraId="7BB4CA7B" w14:textId="79B1CC38" w:rsidR="008E5B9C" w:rsidRPr="00F52AD8" w:rsidRDefault="008E5B9C" w:rsidP="00AE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Productivité</w:t>
            </w:r>
          </w:p>
        </w:tc>
        <w:tc>
          <w:tcPr>
            <w:tcW w:w="3352" w:type="dxa"/>
          </w:tcPr>
          <w:p w14:paraId="2E38E7F5" w14:textId="77777777" w:rsidR="008E5B9C" w:rsidRDefault="007A576D" w:rsidP="00AE4010">
            <w:pPr>
              <w:pStyle w:val="Paragraphedeliste"/>
              <w:numPr>
                <w:ilvl w:val="0"/>
                <w:numId w:val="1"/>
              </w:numPr>
              <w:ind w:left="3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PME ou startup à haute teneur technologique</w:t>
            </w:r>
          </w:p>
          <w:p w14:paraId="61C8D754" w14:textId="4D122F82" w:rsidR="007A576D" w:rsidRDefault="007A576D" w:rsidP="00AE4010">
            <w:pPr>
              <w:pStyle w:val="Paragraphedeliste"/>
              <w:numPr>
                <w:ilvl w:val="0"/>
                <w:numId w:val="1"/>
              </w:numPr>
              <w:ind w:left="3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 innovation et productivité durable</w:t>
            </w:r>
          </w:p>
        </w:tc>
        <w:tc>
          <w:tcPr>
            <w:tcW w:w="3524" w:type="dxa"/>
          </w:tcPr>
          <w:p w14:paraId="5EE506AB" w14:textId="1C4B3F10" w:rsidR="008E5B9C" w:rsidRDefault="008E5B9C" w:rsidP="00AE4010">
            <w:pPr>
              <w:pStyle w:val="Paragraphedeliste"/>
              <w:numPr>
                <w:ilvl w:val="0"/>
                <w:numId w:val="1"/>
              </w:numPr>
              <w:ind w:left="251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Prêt </w:t>
            </w:r>
            <w:r w:rsidR="007A576D">
              <w:rPr>
                <w:sz w:val="20"/>
                <w:szCs w:val="20"/>
              </w:rPr>
              <w:t xml:space="preserve">minimum de 250K$ </w:t>
            </w:r>
            <w:r>
              <w:rPr>
                <w:sz w:val="20"/>
                <w:szCs w:val="20"/>
              </w:rPr>
              <w:t>sans frais de dossier</w:t>
            </w:r>
          </w:p>
          <w:p w14:paraId="70F99B16" w14:textId="2679626F" w:rsidR="00411FF5" w:rsidRDefault="00411FF5" w:rsidP="00AE4010">
            <w:pPr>
              <w:pStyle w:val="Paragraphedeliste"/>
              <w:numPr>
                <w:ilvl w:val="0"/>
                <w:numId w:val="1"/>
              </w:numPr>
              <w:ind w:left="251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Jusqu’à 48 mois de moratoire</w:t>
            </w:r>
          </w:p>
        </w:tc>
      </w:tr>
      <w:tr w:rsidR="008A6DD1" w14:paraId="50A75A79" w14:textId="77777777" w:rsidTr="00451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3146E604" w14:textId="77777777" w:rsidR="008A6DD1" w:rsidRDefault="00953E65" w:rsidP="00AE401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Canada</w:t>
            </w:r>
          </w:p>
          <w:p w14:paraId="15B1DAFA" w14:textId="58616B9D" w:rsidR="00953E65" w:rsidRPr="00056ACF" w:rsidRDefault="00953E65" w:rsidP="00AE4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 des délégué</w:t>
            </w:r>
            <w:r w:rsidR="00072AE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commerciaux</w:t>
            </w:r>
          </w:p>
        </w:tc>
        <w:tc>
          <w:tcPr>
            <w:tcW w:w="1342" w:type="dxa"/>
          </w:tcPr>
          <w:p w14:paraId="632A569A" w14:textId="583F804F" w:rsidR="008A6DD1" w:rsidRPr="008E5B9C" w:rsidRDefault="00953E65" w:rsidP="00AE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2" w:history="1">
              <w:r>
                <w:rPr>
                  <w:rStyle w:val="Lienhypertexte"/>
                </w:rPr>
                <w:t>Canexport PME</w:t>
              </w:r>
            </w:hyperlink>
          </w:p>
        </w:tc>
        <w:tc>
          <w:tcPr>
            <w:tcW w:w="6450" w:type="dxa"/>
          </w:tcPr>
          <w:p w14:paraId="31B439E0" w14:textId="77777777" w:rsidR="00953E65" w:rsidRDefault="00953E65" w:rsidP="00AE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Supporter les efforts de commercialisation à l’International (Hors Canada) </w:t>
            </w:r>
          </w:p>
          <w:p w14:paraId="6A492B1C" w14:textId="1968A844" w:rsidR="00953E65" w:rsidRDefault="00953E65" w:rsidP="00AE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1407B0DC" w14:textId="690A1C9D" w:rsidR="008A6DD1" w:rsidRDefault="00953E65" w:rsidP="00AE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Diversification de marchés</w:t>
            </w:r>
          </w:p>
        </w:tc>
        <w:tc>
          <w:tcPr>
            <w:tcW w:w="3352" w:type="dxa"/>
          </w:tcPr>
          <w:p w14:paraId="3B4849D2" w14:textId="77777777" w:rsidR="008A6DD1" w:rsidRDefault="00953E65" w:rsidP="00AE4010">
            <w:pPr>
              <w:pStyle w:val="Paragraphedeliste"/>
              <w:numPr>
                <w:ilvl w:val="0"/>
                <w:numId w:val="1"/>
              </w:numPr>
              <w:ind w:left="31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Ventes de plus de 100k$ et moins de 100M$</w:t>
            </w:r>
          </w:p>
          <w:p w14:paraId="7322A183" w14:textId="77777777" w:rsidR="00953E65" w:rsidRDefault="00953E65" w:rsidP="00AE4010">
            <w:pPr>
              <w:pStyle w:val="Paragraphedeliste"/>
              <w:numPr>
                <w:ilvl w:val="0"/>
                <w:numId w:val="1"/>
              </w:numPr>
              <w:ind w:left="31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Moins de 500 employés</w:t>
            </w:r>
          </w:p>
          <w:p w14:paraId="061899AE" w14:textId="6F114D88" w:rsidR="004C6387" w:rsidRDefault="004C6387" w:rsidP="00AE4010">
            <w:pPr>
              <w:pStyle w:val="Paragraphedeliste"/>
              <w:numPr>
                <w:ilvl w:val="0"/>
                <w:numId w:val="1"/>
              </w:numPr>
              <w:ind w:left="31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 de 20k$ à 100k$</w:t>
            </w:r>
          </w:p>
        </w:tc>
        <w:tc>
          <w:tcPr>
            <w:tcW w:w="3524" w:type="dxa"/>
          </w:tcPr>
          <w:p w14:paraId="78CC4CB3" w14:textId="32373DC6" w:rsidR="008A6DD1" w:rsidRDefault="004C6387" w:rsidP="00AE4010">
            <w:pPr>
              <w:pStyle w:val="Paragraphedeliste"/>
              <w:numPr>
                <w:ilvl w:val="0"/>
                <w:numId w:val="1"/>
              </w:numPr>
              <w:ind w:left="251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Financement de 50% du coût de projet max 50k$</w:t>
            </w:r>
          </w:p>
        </w:tc>
      </w:tr>
      <w:tr w:rsidR="00AE4010" w14:paraId="2EE7BCB2" w14:textId="77777777" w:rsidTr="00451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10DCF480" w14:textId="77777777" w:rsidR="00AE4010" w:rsidRDefault="00AE4010" w:rsidP="00AE401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Québec</w:t>
            </w:r>
          </w:p>
          <w:p w14:paraId="07E2A7D7" w14:textId="4536FC4B" w:rsidR="00AE4010" w:rsidRDefault="00AE4010" w:rsidP="00AE4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 Centre</w:t>
            </w:r>
          </w:p>
        </w:tc>
        <w:tc>
          <w:tcPr>
            <w:tcW w:w="1342" w:type="dxa"/>
          </w:tcPr>
          <w:p w14:paraId="1D4DAA11" w14:textId="60B87450" w:rsidR="00AE4010" w:rsidRPr="00953E65" w:rsidRDefault="00AE4010" w:rsidP="00AE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PME 911</w:t>
            </w:r>
          </w:p>
        </w:tc>
        <w:tc>
          <w:tcPr>
            <w:tcW w:w="6450" w:type="dxa"/>
          </w:tcPr>
          <w:p w14:paraId="400F4E24" w14:textId="129AC24E" w:rsidR="00AE4010" w:rsidRDefault="00AE4010" w:rsidP="00AE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4010">
              <w:rPr>
                <w:sz w:val="20"/>
                <w:szCs w:val="20"/>
              </w:rPr>
              <w:t xml:space="preserve">5 heures d’intervention </w:t>
            </w:r>
            <w:r>
              <w:rPr>
                <w:sz w:val="20"/>
                <w:szCs w:val="20"/>
              </w:rPr>
              <w:t>pour établir une analyse de la situation de l’entreprise et préparer des pistes d’action</w:t>
            </w:r>
          </w:p>
          <w:p w14:paraId="4782022D" w14:textId="1457CB8E" w:rsidR="00AE4010" w:rsidRPr="00AE4010" w:rsidRDefault="00AE4010" w:rsidP="00AE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619A546F" w14:textId="44768502" w:rsidR="00AE4010" w:rsidRDefault="00AE4010" w:rsidP="00AE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Adaptation au contexte</w:t>
            </w:r>
          </w:p>
        </w:tc>
        <w:tc>
          <w:tcPr>
            <w:tcW w:w="3352" w:type="dxa"/>
          </w:tcPr>
          <w:p w14:paraId="586745DF" w14:textId="58CC9E1C" w:rsidR="00AE4010" w:rsidRDefault="00AE4010" w:rsidP="00AE4010">
            <w:pPr>
              <w:pStyle w:val="Paragraphedeliste"/>
              <w:numPr>
                <w:ilvl w:val="0"/>
                <w:numId w:val="1"/>
              </w:numPr>
              <w:ind w:left="3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 référencement </w:t>
            </w:r>
            <w:r w:rsidR="008715AE">
              <w:rPr>
                <w:sz w:val="20"/>
                <w:szCs w:val="20"/>
              </w:rPr>
              <w:t>de DÉA</w:t>
            </w:r>
          </w:p>
          <w:p w14:paraId="78A6093A" w14:textId="62C21FB1" w:rsidR="00AE4010" w:rsidRDefault="00AE4010" w:rsidP="00AE4010">
            <w:pPr>
              <w:pStyle w:val="Paragraphedeliste"/>
              <w:numPr>
                <w:ilvl w:val="0"/>
                <w:numId w:val="1"/>
              </w:numPr>
              <w:ind w:left="3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Entreprise affectée ou menacée par les tarifs douaniers</w:t>
            </w:r>
          </w:p>
        </w:tc>
        <w:tc>
          <w:tcPr>
            <w:tcW w:w="3524" w:type="dxa"/>
          </w:tcPr>
          <w:p w14:paraId="27653FF3" w14:textId="77777777" w:rsidR="00AE4010" w:rsidRDefault="00AE4010" w:rsidP="00AE4010">
            <w:pPr>
              <w:pStyle w:val="Paragraphedeliste"/>
              <w:numPr>
                <w:ilvl w:val="0"/>
                <w:numId w:val="1"/>
              </w:numPr>
              <w:ind w:left="251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Gratuit</w:t>
            </w:r>
          </w:p>
          <w:p w14:paraId="14BCED49" w14:textId="359E718B" w:rsidR="008715AE" w:rsidRDefault="008715AE" w:rsidP="00AE4010">
            <w:pPr>
              <w:pStyle w:val="Paragraphedeliste"/>
              <w:numPr>
                <w:ilvl w:val="0"/>
                <w:numId w:val="1"/>
              </w:numPr>
              <w:ind w:left="251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Fonds limité à 50 entreprises pour le Québec </w:t>
            </w:r>
          </w:p>
        </w:tc>
      </w:tr>
      <w:tr w:rsidR="00AE4010" w14:paraId="35362E5A" w14:textId="77777777" w:rsidTr="00451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529E0F00" w14:textId="77777777" w:rsidR="00AE4010" w:rsidRDefault="00AE4010" w:rsidP="00AE401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Régional</w:t>
            </w:r>
          </w:p>
          <w:p w14:paraId="41E0A614" w14:textId="051DA8DA" w:rsidR="00D11147" w:rsidRDefault="00D11147" w:rsidP="00AE4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Société de développement international de Lanaudière</w:t>
            </w:r>
          </w:p>
        </w:tc>
        <w:tc>
          <w:tcPr>
            <w:tcW w:w="1342" w:type="dxa"/>
          </w:tcPr>
          <w:p w14:paraId="62502A06" w14:textId="0CD6059D" w:rsidR="00AE4010" w:rsidRDefault="00AE4010" w:rsidP="00AE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3" w:history="1">
              <w:r w:rsidRPr="004D46C8">
                <w:rPr>
                  <w:rStyle w:val="Lienhypertexte"/>
                  <w:sz w:val="20"/>
                  <w:szCs w:val="20"/>
                </w:rPr>
                <w:t>SODIL</w:t>
              </w:r>
            </w:hyperlink>
          </w:p>
        </w:tc>
        <w:tc>
          <w:tcPr>
            <w:tcW w:w="6450" w:type="dxa"/>
          </w:tcPr>
          <w:p w14:paraId="38692370" w14:textId="4007272F" w:rsidR="00AE4010" w:rsidRPr="00AE4010" w:rsidRDefault="00AE4010" w:rsidP="00AE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d’accompagnement </w:t>
            </w:r>
            <w:r w:rsidR="0045102C">
              <w:rPr>
                <w:sz w:val="20"/>
                <w:szCs w:val="20"/>
              </w:rPr>
              <w:t xml:space="preserve">et de formation </w:t>
            </w:r>
            <w:r>
              <w:rPr>
                <w:sz w:val="20"/>
                <w:szCs w:val="20"/>
              </w:rPr>
              <w:t>en développement international (hors Québec</w:t>
            </w:r>
            <w:r w:rsidR="0045102C">
              <w:rPr>
                <w:sz w:val="20"/>
                <w:szCs w:val="20"/>
              </w:rPr>
              <w:t>). Accès à un réseau  d’experts en commerce international</w:t>
            </w:r>
            <w:r w:rsidR="00D111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</w:tcPr>
          <w:p w14:paraId="348151CF" w14:textId="79D8F270" w:rsidR="00AE4010" w:rsidRDefault="00AE4010" w:rsidP="00AE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Diversification de marchés</w:t>
            </w:r>
          </w:p>
        </w:tc>
        <w:tc>
          <w:tcPr>
            <w:tcW w:w="3352" w:type="dxa"/>
          </w:tcPr>
          <w:p w14:paraId="602C4F09" w14:textId="238B244B" w:rsidR="00AE4010" w:rsidRDefault="00AE4010" w:rsidP="00AE4010">
            <w:pPr>
              <w:pStyle w:val="Paragraphedeliste"/>
              <w:numPr>
                <w:ilvl w:val="0"/>
                <w:numId w:val="1"/>
              </w:numPr>
              <w:ind w:left="31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Entreprises exportatrices </w:t>
            </w:r>
            <w:r w:rsidR="00623F5C">
              <w:rPr>
                <w:sz w:val="20"/>
                <w:szCs w:val="20"/>
              </w:rPr>
              <w:t>ou en voie de le faire</w:t>
            </w:r>
          </w:p>
        </w:tc>
        <w:tc>
          <w:tcPr>
            <w:tcW w:w="3524" w:type="dxa"/>
          </w:tcPr>
          <w:p w14:paraId="1EE0E822" w14:textId="6A752D99" w:rsidR="00AE4010" w:rsidRDefault="00AE4010" w:rsidP="00AE4010">
            <w:pPr>
              <w:pStyle w:val="Paragraphedeliste"/>
              <w:numPr>
                <w:ilvl w:val="0"/>
                <w:numId w:val="1"/>
              </w:numPr>
              <w:ind w:left="251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Tarif horaire en partie financé par les gouvernements</w:t>
            </w:r>
          </w:p>
        </w:tc>
      </w:tr>
      <w:tr w:rsidR="00485E70" w14:paraId="015814C9" w14:textId="77777777" w:rsidTr="00451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0075A719" w14:textId="5A681610" w:rsidR="00485E70" w:rsidRDefault="00485E70" w:rsidP="00AE4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Canada</w:t>
            </w:r>
          </w:p>
        </w:tc>
        <w:tc>
          <w:tcPr>
            <w:tcW w:w="1342" w:type="dxa"/>
          </w:tcPr>
          <w:p w14:paraId="3C981DBF" w14:textId="48E29ADF" w:rsidR="00485E70" w:rsidRDefault="00485E70" w:rsidP="00AE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Pr="00485E70">
                <w:rPr>
                  <w:rStyle w:val="Lienhypertexte"/>
                </w:rPr>
                <w:t xml:space="preserve">Programme de Travail partagé - </w:t>
              </w:r>
              <w:r w:rsidRPr="00485E70">
                <w:rPr>
                  <w:rStyle w:val="Lienhypertexte"/>
                </w:rPr>
                <w:lastRenderedPageBreak/>
                <w:t>Aperçu - Canada.ca</w:t>
              </w:r>
            </w:hyperlink>
          </w:p>
        </w:tc>
        <w:tc>
          <w:tcPr>
            <w:tcW w:w="6450" w:type="dxa"/>
          </w:tcPr>
          <w:p w14:paraId="32B9F84D" w14:textId="00562B9F" w:rsidR="00485E70" w:rsidRDefault="00485E70" w:rsidP="00AE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Mesure de soutien à l’emploi avec une mesure spéciale pour le contexte des tarifs douaniers</w:t>
            </w:r>
          </w:p>
        </w:tc>
        <w:tc>
          <w:tcPr>
            <w:tcW w:w="1538" w:type="dxa"/>
          </w:tcPr>
          <w:p w14:paraId="23776962" w14:textId="6475D9A5" w:rsidR="00485E70" w:rsidRDefault="00485E70" w:rsidP="00AE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Maintien à l’emploi</w:t>
            </w:r>
          </w:p>
        </w:tc>
        <w:tc>
          <w:tcPr>
            <w:tcW w:w="3352" w:type="dxa"/>
          </w:tcPr>
          <w:p w14:paraId="50DA2C5C" w14:textId="77777777" w:rsidR="00485E70" w:rsidRDefault="00485E70" w:rsidP="00AE4010">
            <w:pPr>
              <w:pStyle w:val="Paragraphedeliste"/>
              <w:numPr>
                <w:ilvl w:val="0"/>
                <w:numId w:val="1"/>
              </w:numPr>
              <w:ind w:left="3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Être en activité depuis au moins deux ans</w:t>
            </w:r>
          </w:p>
          <w:p w14:paraId="37128C0D" w14:textId="5642051D" w:rsidR="00485E70" w:rsidRDefault="00485E70" w:rsidP="00AE4010">
            <w:pPr>
              <w:pStyle w:val="Paragraphedeliste"/>
              <w:numPr>
                <w:ilvl w:val="0"/>
                <w:numId w:val="1"/>
              </w:numPr>
              <w:ind w:left="31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Avoir deux employés éligibles à l’assurance emploi</w:t>
            </w:r>
          </w:p>
        </w:tc>
        <w:tc>
          <w:tcPr>
            <w:tcW w:w="3524" w:type="dxa"/>
          </w:tcPr>
          <w:p w14:paraId="5D939215" w14:textId="57870756" w:rsidR="00485E70" w:rsidRDefault="00485E70" w:rsidP="00AE4010">
            <w:pPr>
              <w:pStyle w:val="Paragraphedeliste"/>
              <w:numPr>
                <w:ilvl w:val="0"/>
                <w:numId w:val="1"/>
              </w:numPr>
              <w:ind w:left="251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Mesure compensatoire de paiement d’une partie du salaire</w:t>
            </w:r>
          </w:p>
        </w:tc>
      </w:tr>
      <w:tr w:rsidR="00485E70" w14:paraId="798FFB41" w14:textId="77777777" w:rsidTr="00451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5E8EDAEB" w14:textId="48B9239E" w:rsidR="00485E70" w:rsidRDefault="00485E70" w:rsidP="00AE4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Développement Économique D’Autray (MRC)</w:t>
            </w:r>
          </w:p>
        </w:tc>
        <w:tc>
          <w:tcPr>
            <w:tcW w:w="1342" w:type="dxa"/>
          </w:tcPr>
          <w:p w14:paraId="29715306" w14:textId="77777777" w:rsidR="00485E70" w:rsidRPr="00485E70" w:rsidRDefault="00485E70" w:rsidP="00AE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50" w:type="dxa"/>
          </w:tcPr>
          <w:p w14:paraId="7B8AC4FF" w14:textId="6DA5B59B" w:rsidR="00485E70" w:rsidRDefault="00485E70" w:rsidP="00AE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Assouplissement des conditions de remboursement</w:t>
            </w:r>
            <w:r w:rsidR="000D4E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pour des prêts en cours</w:t>
            </w:r>
            <w:r w:rsidR="000D4E7D">
              <w:rPr>
                <w:sz w:val="20"/>
                <w:szCs w:val="20"/>
              </w:rPr>
              <w:t xml:space="preserve"> chez Développement Économique D’Autray</w:t>
            </w:r>
          </w:p>
        </w:tc>
        <w:tc>
          <w:tcPr>
            <w:tcW w:w="1538" w:type="dxa"/>
          </w:tcPr>
          <w:p w14:paraId="15B47735" w14:textId="150374B5" w:rsidR="00485E70" w:rsidRDefault="00485E70" w:rsidP="00AE4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Liquidité</w:t>
            </w:r>
          </w:p>
        </w:tc>
        <w:tc>
          <w:tcPr>
            <w:tcW w:w="3352" w:type="dxa"/>
          </w:tcPr>
          <w:p w14:paraId="474DD670" w14:textId="446DA345" w:rsidR="00485E70" w:rsidRDefault="00485E70" w:rsidP="00AE4010">
            <w:pPr>
              <w:pStyle w:val="Paragraphedeliste"/>
              <w:numPr>
                <w:ilvl w:val="0"/>
                <w:numId w:val="1"/>
              </w:numPr>
              <w:ind w:left="31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Avoir un prêt avec Développement Économique D’Autray (MRC)</w:t>
            </w:r>
          </w:p>
        </w:tc>
        <w:tc>
          <w:tcPr>
            <w:tcW w:w="3524" w:type="dxa"/>
          </w:tcPr>
          <w:p w14:paraId="7F8981FD" w14:textId="792CD34A" w:rsidR="00485E70" w:rsidRDefault="00485E70" w:rsidP="00AE4010">
            <w:pPr>
              <w:pStyle w:val="Paragraphedeliste"/>
              <w:numPr>
                <w:ilvl w:val="0"/>
                <w:numId w:val="1"/>
              </w:numPr>
              <w:ind w:left="251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Contactez votre conseillère en financement</w:t>
            </w:r>
          </w:p>
          <w:p w14:paraId="54D2142C" w14:textId="77777777" w:rsidR="00DD1024" w:rsidRPr="00DD1024" w:rsidRDefault="00DD1024" w:rsidP="00DD1024">
            <w:pPr>
              <w:ind w:left="2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5" w:history="1">
              <w:r w:rsidRPr="00DD1024">
                <w:rPr>
                  <w:rStyle w:val="Lienhypertexte"/>
                  <w:b/>
                  <w:bCs/>
                  <w:sz w:val="20"/>
                  <w:szCs w:val="20"/>
                </w:rPr>
                <w:t>kcharbonneau@mrcautray.qc.ca</w:t>
              </w:r>
            </w:hyperlink>
          </w:p>
          <w:p w14:paraId="42B07549" w14:textId="2ECB77BD" w:rsidR="00DD1024" w:rsidRPr="00DD1024" w:rsidRDefault="00DD1024" w:rsidP="00DD1024">
            <w:pPr>
              <w:ind w:left="2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D1024">
              <w:rPr>
                <w:sz w:val="20"/>
                <w:szCs w:val="20"/>
              </w:rPr>
              <w:t>450 836-7007 ext 2527</w:t>
            </w:r>
          </w:p>
          <w:p w14:paraId="10286AA5" w14:textId="28D200B6" w:rsidR="00485E70" w:rsidRPr="00485E70" w:rsidRDefault="00485E70" w:rsidP="00485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F775D9C" w14:textId="542DFA6A" w:rsidR="00430DD2" w:rsidRDefault="00056ACF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Mise en garde</w:t>
      </w:r>
      <w:r w:rsidRPr="00056ACF">
        <w:rPr>
          <w:i/>
          <w:iCs/>
          <w:sz w:val="18"/>
          <w:szCs w:val="18"/>
          <w:u w:val="single"/>
        </w:rPr>
        <w:t> :</w:t>
      </w:r>
      <w:r>
        <w:rPr>
          <w:i/>
          <w:iCs/>
          <w:sz w:val="18"/>
          <w:szCs w:val="18"/>
        </w:rPr>
        <w:t xml:space="preserve"> </w:t>
      </w:r>
      <w:r w:rsidR="00D95F86" w:rsidRPr="00056ACF">
        <w:rPr>
          <w:i/>
          <w:iCs/>
          <w:sz w:val="18"/>
          <w:szCs w:val="18"/>
        </w:rPr>
        <w:t xml:space="preserve">Ce tableau récapitule les principales mesures mises en place pour aider les entreprises face aux tarifs douaniers et donne les </w:t>
      </w:r>
      <w:r>
        <w:rPr>
          <w:i/>
          <w:iCs/>
          <w:sz w:val="18"/>
          <w:szCs w:val="18"/>
        </w:rPr>
        <w:t>principales cara</w:t>
      </w:r>
      <w:r w:rsidR="00072AEE">
        <w:rPr>
          <w:i/>
          <w:iCs/>
          <w:sz w:val="18"/>
          <w:szCs w:val="18"/>
        </w:rPr>
        <w:t>c</w:t>
      </w:r>
      <w:r>
        <w:rPr>
          <w:i/>
          <w:iCs/>
          <w:sz w:val="18"/>
          <w:szCs w:val="18"/>
        </w:rPr>
        <w:t>téristiques</w:t>
      </w:r>
      <w:r w:rsidR="00D95F86" w:rsidRPr="00056ACF">
        <w:rPr>
          <w:i/>
          <w:iCs/>
          <w:sz w:val="18"/>
          <w:szCs w:val="18"/>
        </w:rPr>
        <w:t xml:space="preserve"> pour avoir une vue d’ensemble et guider la recherche des entreprises.</w:t>
      </w:r>
      <w:r w:rsidRPr="00056ACF">
        <w:rPr>
          <w:i/>
          <w:iCs/>
          <w:sz w:val="18"/>
          <w:szCs w:val="18"/>
        </w:rPr>
        <w:t xml:space="preserve"> Il importe de prendre connaissance du détail des mesures pour s’assurer que  l’ensemble des critères et modalités</w:t>
      </w:r>
      <w:r w:rsidR="00D95F86" w:rsidRPr="00056ACF">
        <w:rPr>
          <w:i/>
          <w:iCs/>
          <w:sz w:val="18"/>
          <w:szCs w:val="18"/>
        </w:rPr>
        <w:t xml:space="preserve"> </w:t>
      </w:r>
      <w:r w:rsidRPr="00056ACF">
        <w:rPr>
          <w:i/>
          <w:iCs/>
          <w:sz w:val="18"/>
          <w:szCs w:val="18"/>
        </w:rPr>
        <w:t>sont appropriés pour les besoins de l’entreprise</w:t>
      </w:r>
      <w:r>
        <w:rPr>
          <w:i/>
          <w:iCs/>
          <w:sz w:val="18"/>
          <w:szCs w:val="18"/>
        </w:rPr>
        <w:t>.</w:t>
      </w:r>
    </w:p>
    <w:p w14:paraId="4F828DD3" w14:textId="12C979F0" w:rsidR="00056ACF" w:rsidRPr="00056ACF" w:rsidRDefault="00056ACF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Date de mise à jour :  </w:t>
      </w:r>
      <w:r w:rsidR="00485E70">
        <w:rPr>
          <w:i/>
          <w:iCs/>
          <w:sz w:val="18"/>
          <w:szCs w:val="18"/>
        </w:rPr>
        <w:t>17</w:t>
      </w:r>
      <w:r>
        <w:rPr>
          <w:i/>
          <w:iCs/>
          <w:sz w:val="18"/>
          <w:szCs w:val="18"/>
        </w:rPr>
        <w:t>mars 2025</w:t>
      </w:r>
    </w:p>
    <w:sectPr w:rsidR="00056ACF" w:rsidRPr="00056ACF" w:rsidSect="00DD1024">
      <w:headerReference w:type="default" r:id="rId16"/>
      <w:pgSz w:w="20160" w:h="12240" w:orient="landscape" w:code="5"/>
      <w:pgMar w:top="1508" w:right="102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A78FE" w14:textId="77777777" w:rsidR="005213D7" w:rsidRDefault="005213D7" w:rsidP="00D95F86">
      <w:pPr>
        <w:spacing w:after="0" w:line="240" w:lineRule="auto"/>
      </w:pPr>
      <w:r>
        <w:separator/>
      </w:r>
    </w:p>
  </w:endnote>
  <w:endnote w:type="continuationSeparator" w:id="0">
    <w:p w14:paraId="20D6836F" w14:textId="77777777" w:rsidR="005213D7" w:rsidRDefault="005213D7" w:rsidP="00D9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F2B78" w14:textId="77777777" w:rsidR="005213D7" w:rsidRDefault="005213D7" w:rsidP="00D95F86">
      <w:pPr>
        <w:spacing w:after="0" w:line="240" w:lineRule="auto"/>
      </w:pPr>
      <w:r>
        <w:separator/>
      </w:r>
    </w:p>
  </w:footnote>
  <w:footnote w:type="continuationSeparator" w:id="0">
    <w:p w14:paraId="0F214415" w14:textId="77777777" w:rsidR="005213D7" w:rsidRDefault="005213D7" w:rsidP="00D9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C3720" w14:textId="04FB9167" w:rsidR="00D95F86" w:rsidRPr="00AC71AD" w:rsidRDefault="00D95F86" w:rsidP="004F3976">
    <w:pPr>
      <w:pStyle w:val="En-tte"/>
      <w:ind w:right="-723"/>
      <w:jc w:val="center"/>
      <w:rPr>
        <w:b/>
        <w:bCs/>
        <w:sz w:val="32"/>
        <w:szCs w:val="32"/>
      </w:rPr>
    </w:pPr>
    <w:r w:rsidRPr="00AC71AD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87D25F6" wp14:editId="0B44637A">
          <wp:simplePos x="0" y="0"/>
          <wp:positionH relativeFrom="column">
            <wp:posOffset>115239</wp:posOffset>
          </wp:positionH>
          <wp:positionV relativeFrom="paragraph">
            <wp:posOffset>-334010</wp:posOffset>
          </wp:positionV>
          <wp:extent cx="1524635" cy="572091"/>
          <wp:effectExtent l="0" t="0" r="0" b="0"/>
          <wp:wrapNone/>
          <wp:docPr id="180387894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679804" name="Image 4186798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635" cy="572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3976" w:rsidRPr="00AC71AD">
      <w:rPr>
        <w:b/>
        <w:bCs/>
        <w:sz w:val="32"/>
        <w:szCs w:val="32"/>
      </w:rPr>
      <w:t>MESURES D’AIDE AUX ENTREPRISES – TARIFS DOUANIERS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3129B"/>
    <w:multiLevelType w:val="hybridMultilevel"/>
    <w:tmpl w:val="F00A4C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56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86"/>
    <w:rsid w:val="00050033"/>
    <w:rsid w:val="00056ACF"/>
    <w:rsid w:val="00072AEE"/>
    <w:rsid w:val="000D4E7D"/>
    <w:rsid w:val="002E42B7"/>
    <w:rsid w:val="00351C48"/>
    <w:rsid w:val="00353077"/>
    <w:rsid w:val="003B33F2"/>
    <w:rsid w:val="00411FF5"/>
    <w:rsid w:val="00430DD2"/>
    <w:rsid w:val="0045102C"/>
    <w:rsid w:val="004616A3"/>
    <w:rsid w:val="00485E70"/>
    <w:rsid w:val="004C6387"/>
    <w:rsid w:val="004D46C8"/>
    <w:rsid w:val="004D5EE7"/>
    <w:rsid w:val="004F3976"/>
    <w:rsid w:val="005213D7"/>
    <w:rsid w:val="00521F9D"/>
    <w:rsid w:val="005630CB"/>
    <w:rsid w:val="005D6139"/>
    <w:rsid w:val="00623F5C"/>
    <w:rsid w:val="006E67C9"/>
    <w:rsid w:val="007435B5"/>
    <w:rsid w:val="00792239"/>
    <w:rsid w:val="007A576D"/>
    <w:rsid w:val="008715AE"/>
    <w:rsid w:val="008A6DD1"/>
    <w:rsid w:val="008E5B9C"/>
    <w:rsid w:val="00953E65"/>
    <w:rsid w:val="00AC71AD"/>
    <w:rsid w:val="00AE4010"/>
    <w:rsid w:val="00B475A7"/>
    <w:rsid w:val="00D000C6"/>
    <w:rsid w:val="00D11147"/>
    <w:rsid w:val="00D95F86"/>
    <w:rsid w:val="00DD1024"/>
    <w:rsid w:val="00E436D8"/>
    <w:rsid w:val="00F52AD8"/>
    <w:rsid w:val="00FD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35BFDD"/>
  <w15:chartTrackingRefBased/>
  <w15:docId w15:val="{AB1508E3-58B7-43EF-B359-E0DB5193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5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5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5F8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5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5F8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5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5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5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5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5F8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95F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95F8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5F86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95F86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5F8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95F8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95F8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95F8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95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5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5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95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95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95F8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95F8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95F86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5F8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5F86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D95F86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9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95F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F86"/>
  </w:style>
  <w:style w:type="paragraph" w:styleId="Pieddepage">
    <w:name w:val="footer"/>
    <w:basedOn w:val="Normal"/>
    <w:link w:val="PieddepageCar"/>
    <w:uiPriority w:val="99"/>
    <w:unhideWhenUsed/>
    <w:rsid w:val="00D95F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5F86"/>
  </w:style>
  <w:style w:type="character" w:styleId="Lienhypertexte">
    <w:name w:val="Hyperlink"/>
    <w:basedOn w:val="Policepardfaut"/>
    <w:uiPriority w:val="99"/>
    <w:unhideWhenUsed/>
    <w:rsid w:val="00056AC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6AC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56ACF"/>
    <w:rPr>
      <w:color w:val="954F72" w:themeColor="followedHyperlink"/>
      <w:u w:val="single"/>
    </w:rPr>
  </w:style>
  <w:style w:type="table" w:styleId="TableauGrille5Fonc-Accentuation5">
    <w:name w:val="Grid Table 5 Dark Accent 5"/>
    <w:basedOn w:val="TableauNormal"/>
    <w:uiPriority w:val="50"/>
    <w:rsid w:val="008A6D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stquebec.com/quebec/fr/produits-financiers/toutes-nos-solutions/Frontiere.html" TargetMode="External"/><Relationship Id="rId13" Type="http://schemas.openxmlformats.org/officeDocument/2006/relationships/hyperlink" Target="http://www.sodil.c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leguescommerciaux.gc.ca/funding-financement/canexport/sme-pme/index.aspx?lang=fr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randv.investquebec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charbonneau@mrcautray.qc.ca" TargetMode="External"/><Relationship Id="rId10" Type="http://schemas.openxmlformats.org/officeDocument/2006/relationships/hyperlink" Target="https://exportation.investquebec.com/solu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vestquebec.com/quebec/fr/produits-financiers/toutes-nos-solutions/chantier-productivite.html" TargetMode="External"/><Relationship Id="rId14" Type="http://schemas.openxmlformats.org/officeDocument/2006/relationships/hyperlink" Target="https://www.canada.ca/fr/emploi-developpement-social/services/travail-partag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E8F99-072E-4017-BD09-EE06A960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Jean-Christophe Chavarria</dc:creator>
  <cp:keywords/>
  <dc:description/>
  <cp:lastModifiedBy>Sébastien Proulx</cp:lastModifiedBy>
  <cp:revision>2</cp:revision>
  <cp:lastPrinted>2025-03-06T14:31:00Z</cp:lastPrinted>
  <dcterms:created xsi:type="dcterms:W3CDTF">2025-03-24T18:11:00Z</dcterms:created>
  <dcterms:modified xsi:type="dcterms:W3CDTF">2025-03-24T18:11:00Z</dcterms:modified>
</cp:coreProperties>
</file>